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62" w:rsidRPr="0098081F" w:rsidRDefault="00920662" w:rsidP="00920662">
      <w:pPr>
        <w:widowControl w:val="0"/>
        <w:tabs>
          <w:tab w:val="num" w:pos="1134"/>
        </w:tabs>
        <w:suppressAutoHyphens/>
        <w:ind w:firstLine="567"/>
        <w:jc w:val="center"/>
        <w:outlineLvl w:val="1"/>
        <w:rPr>
          <w:rFonts w:asciiTheme="majorHAnsi" w:hAnsiTheme="majorHAnsi"/>
          <w:b/>
          <w:bCs/>
          <w:lang w:eastAsia="ar-SA"/>
        </w:rPr>
      </w:pPr>
      <w:bookmarkStart w:id="0" w:name="_Toc510182601"/>
      <w:bookmarkStart w:id="1" w:name="_Toc510184232"/>
      <w:bookmarkStart w:id="2" w:name="_Toc510184491"/>
      <w:bookmarkStart w:id="3" w:name="_Toc510188551"/>
      <w:bookmarkStart w:id="4" w:name="_Toc507418007"/>
      <w:bookmarkStart w:id="5" w:name="_Toc475438335"/>
      <w:bookmarkStart w:id="6" w:name="_Toc436140129"/>
      <w:bookmarkStart w:id="7" w:name="_Toc3794696"/>
      <w:bookmarkStart w:id="8" w:name="_Toc367190486"/>
      <w:r w:rsidRPr="0098081F">
        <w:rPr>
          <w:rFonts w:asciiTheme="majorHAnsi" w:hAnsiTheme="majorHAnsi"/>
          <w:b/>
          <w:bCs/>
          <w:lang w:eastAsia="ar-SA"/>
        </w:rPr>
        <w:t xml:space="preserve">Сводная таблица стоимости </w:t>
      </w:r>
      <w:bookmarkEnd w:id="0"/>
      <w:bookmarkEnd w:id="1"/>
      <w:bookmarkEnd w:id="2"/>
      <w:bookmarkEnd w:id="3"/>
      <w:r w:rsidRPr="0098081F">
        <w:rPr>
          <w:rFonts w:asciiTheme="majorHAnsi" w:hAnsiTheme="majorHAnsi"/>
          <w:b/>
          <w:bCs/>
          <w:lang w:eastAsia="ar-SA"/>
        </w:rPr>
        <w:t>работ</w:t>
      </w:r>
    </w:p>
    <w:p w:rsidR="00920662" w:rsidRDefault="00920662" w:rsidP="00920662">
      <w:pPr>
        <w:widowControl w:val="0"/>
        <w:tabs>
          <w:tab w:val="left" w:pos="1080"/>
        </w:tabs>
        <w:suppressAutoHyphens/>
        <w:spacing w:after="0"/>
        <w:jc w:val="both"/>
        <w:rPr>
          <w:rFonts w:asciiTheme="majorHAnsi" w:hAnsiTheme="majorHAnsi"/>
          <w:bCs/>
          <w:lang w:eastAsia="ar-SA"/>
        </w:rPr>
      </w:pPr>
    </w:p>
    <w:bookmarkEnd w:id="4"/>
    <w:bookmarkEnd w:id="5"/>
    <w:bookmarkEnd w:id="6"/>
    <w:bookmarkEnd w:id="7"/>
    <w:bookmarkEnd w:id="8"/>
    <w:p w:rsidR="00920662" w:rsidRPr="00E16D93" w:rsidRDefault="00920662" w:rsidP="00920662">
      <w:pPr>
        <w:rPr>
          <w:rFonts w:asciiTheme="majorHAnsi" w:hAnsiTheme="majorHAnsi"/>
          <w:bCs/>
        </w:rPr>
      </w:pPr>
    </w:p>
    <w:tbl>
      <w:tblPr>
        <w:tblW w:w="27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4459"/>
        <w:gridCol w:w="851"/>
        <w:gridCol w:w="708"/>
        <w:gridCol w:w="1140"/>
        <w:gridCol w:w="1276"/>
        <w:gridCol w:w="9420"/>
        <w:gridCol w:w="9420"/>
      </w:tblGrid>
      <w:tr w:rsidR="000E0BEF" w:rsidRPr="00004852" w:rsidTr="000E0BEF">
        <w:trPr>
          <w:gridAfter w:val="2"/>
          <w:wAfter w:w="18840" w:type="dxa"/>
          <w:trHeight w:val="7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EF" w:rsidRPr="005828B1" w:rsidRDefault="000E0BEF" w:rsidP="005828B1">
            <w:pPr>
              <w:keepNext/>
              <w:spacing w:before="40" w:after="40"/>
              <w:ind w:left="57" w:right="57"/>
              <w:jc w:val="center"/>
              <w:rPr>
                <w:rFonts w:asciiTheme="majorHAnsi" w:hAnsiTheme="majorHAnsi"/>
                <w:bCs/>
                <w:snapToGrid w:val="0"/>
                <w:sz w:val="18"/>
                <w:szCs w:val="18"/>
              </w:rPr>
            </w:pPr>
            <w:r w:rsidRPr="005828B1">
              <w:rPr>
                <w:rFonts w:asciiTheme="majorHAnsi" w:hAnsiTheme="majorHAnsi"/>
                <w:snapToGrid w:val="0"/>
                <w:sz w:val="18"/>
                <w:szCs w:val="18"/>
              </w:rPr>
              <w:t xml:space="preserve">Номенклатура оказываемых товаров/работ/услуг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EF" w:rsidRPr="005828B1" w:rsidRDefault="000E0BEF" w:rsidP="005828B1">
            <w:pPr>
              <w:keepNext/>
              <w:spacing w:before="40" w:after="40"/>
              <w:ind w:left="57" w:right="57"/>
              <w:jc w:val="center"/>
              <w:rPr>
                <w:rFonts w:asciiTheme="majorHAnsi" w:hAnsiTheme="majorHAnsi"/>
                <w:bCs/>
                <w:snapToGrid w:val="0"/>
                <w:sz w:val="18"/>
                <w:szCs w:val="18"/>
              </w:rPr>
            </w:pPr>
            <w:r w:rsidRPr="005828B1">
              <w:rPr>
                <w:rFonts w:asciiTheme="majorHAnsi" w:hAnsiTheme="majorHAnsi"/>
                <w:snapToGrid w:val="0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EF" w:rsidRPr="005828B1" w:rsidRDefault="000E0BEF" w:rsidP="005828B1">
            <w:pPr>
              <w:keepNext/>
              <w:spacing w:before="40" w:after="40"/>
              <w:ind w:left="57" w:right="57"/>
              <w:jc w:val="center"/>
              <w:rPr>
                <w:rFonts w:asciiTheme="majorHAnsi" w:hAnsiTheme="majorHAnsi"/>
                <w:bCs/>
                <w:snapToGrid w:val="0"/>
                <w:sz w:val="18"/>
                <w:szCs w:val="18"/>
              </w:rPr>
            </w:pPr>
            <w:r w:rsidRPr="005828B1">
              <w:rPr>
                <w:rFonts w:asciiTheme="majorHAnsi" w:hAnsiTheme="majorHAnsi"/>
                <w:snapToGrid w:val="0"/>
                <w:sz w:val="18"/>
                <w:szCs w:val="18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5828B1" w:rsidRDefault="000E0BEF" w:rsidP="005828B1">
            <w:pPr>
              <w:keepNext/>
              <w:spacing w:before="40" w:after="40"/>
              <w:ind w:left="57" w:right="57"/>
              <w:jc w:val="center"/>
              <w:rPr>
                <w:rFonts w:asciiTheme="majorHAnsi" w:hAnsiTheme="majorHAnsi"/>
                <w:bCs/>
                <w:snapToGrid w:val="0"/>
                <w:sz w:val="18"/>
                <w:szCs w:val="18"/>
              </w:rPr>
            </w:pPr>
            <w:r w:rsidRPr="005828B1">
              <w:rPr>
                <w:rFonts w:asciiTheme="majorHAnsi" w:hAnsiTheme="majorHAnsi"/>
                <w:snapToGrid w:val="0"/>
                <w:sz w:val="18"/>
                <w:szCs w:val="18"/>
              </w:rPr>
              <w:t>Единичная расценка, руб.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5828B1" w:rsidRDefault="000E0BEF" w:rsidP="005828B1">
            <w:pPr>
              <w:keepNext/>
              <w:spacing w:before="40" w:after="40"/>
              <w:ind w:right="57"/>
              <w:jc w:val="center"/>
              <w:rPr>
                <w:rFonts w:asciiTheme="majorHAnsi" w:hAnsiTheme="majorHAnsi"/>
                <w:bCs/>
                <w:snapToGrid w:val="0"/>
                <w:sz w:val="18"/>
                <w:szCs w:val="18"/>
              </w:rPr>
            </w:pPr>
            <w:r w:rsidRPr="005828B1">
              <w:rPr>
                <w:rFonts w:asciiTheme="majorHAnsi" w:hAnsiTheme="majorHAnsi"/>
                <w:snapToGrid w:val="0"/>
                <w:sz w:val="18"/>
                <w:szCs w:val="18"/>
              </w:rPr>
              <w:t>Декларирование страны товаров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Монтаж шкафов учета до 30 кВт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однофазного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порошковой окраски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4,4 метра "Стандарт"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17900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-Многотарифный счетчик электрической энергии «Меркурий 200.02».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Коммутационные аппараты АВВ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однофазного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порошковой окраски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7 метров "Стандарт"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20910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-Многотарифный счетчик электрической энергии «Меркурий 200.02».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Коммутационные аппараты АВВ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однофазного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4,4 метра "Эконом", в составе: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13970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-Многотарифный счетчик электрической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энергии  "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Меркурий   201.7»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IEK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однофазного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7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метров "Эконом", в составе: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15820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-Многотарифный счетчик электрической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энергии  "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Меркурий   201.7»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IEK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трехфазного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порошковой окраски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4,4 метра "Стандарт"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18800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-Многотарифный счетчик электрической энергии «Меркурий 231 АТ-01»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Коммутационные аппараты АВВ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трехфазного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порошковой окраски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7 метров "Стандарт"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20550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-Многотарифный счетчик электрической энергии «Меркурий 231 АТ-01»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Коммутационные аппараты АВВ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трехфазного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4,4 метра "Эконом", в составе: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17790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-Многотарифный счетчик электрической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энергии  "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Меркурий   231 АМ-01 Ш»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IEK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684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однофазного щита учета IP 54 на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7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метров "Эконом", в составе: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19900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-Многотарифный счетчик электрической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энергии  "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Меркурий   231 АМ-01 Ш»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IEK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Монтаж шкафов учета с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монтажем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на усиленную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трубостойку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4,4 или 7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м(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без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) в сети 0,4кВ свыше 30 кВт укомплектованных прибором учета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электрощита силового до 100А (от30 до 60кВТ),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многотарифный счетчик электрической энергии "Меркурий 230 ART 02 СN - 1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-автоматические выключатели - 2шт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61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электрощита силового от 100А до 250А (от 60 до 160кВт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) ,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78115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многотарифный счетчик электрической энергии "Меркурий 230 ART 03 CN - 1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-автоматические выключатели - 2шт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-трансформаторы тока - 3шт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-испытательная коробка -1шт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-вторичные цепи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76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электрощита силового от 250А до 630А (от 160 до 400кВт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) ,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81600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многотарифный счетчик электрической энергии "Меркурий 230 ART 03 CN - 1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-автоматические выключатели - 2шт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-трансформаторы тока - 3шт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-испытательная коробка -1шт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-вторичные цепи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72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trHeight w:val="3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Монтаж шкафов учета (без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) в сети 0,4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кВ  с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подготовленным местом под установку прибора учета</w:t>
            </w:r>
          </w:p>
        </w:tc>
        <w:tc>
          <w:tcPr>
            <w:tcW w:w="9420" w:type="dxa"/>
          </w:tcPr>
          <w:p w:rsidR="000E0BEF" w:rsidRPr="00004852" w:rsidRDefault="000E0BEF" w:rsidP="005828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20" w:type="dxa"/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Монтаж шкафов учета (без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) в сети 0,4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кВ  с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подготовленным местом под установку прибора учета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однофазного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BB5C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138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место под установку прибора учета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АВВ -2шт.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696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трехфазного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щита учета IP 54, в составе: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BB5C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138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место под установку прибора учета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Коммутационные аппараты АВВ -2шт.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ответвления от питающей линии до щита учета на расстояние до 25м.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67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крепление провода марки СИП к опоре используя клиновые зажимы марки DN-123анкерный кронштейн CS 10.3,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ответвительные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зажимы марки Р-635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трехфазного электрощита силового до 100А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(от30 до 60кВТ)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,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36700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 место под установку приборов учета,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-автоматические выключатели - 1шт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Установка трехфазного электрощита силового от 100 до 250А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(от65 до 160кВТ)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27082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 место под установку приборов учета, трансформаторов тока, испытательной коробки.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-автоматические выключатели - 1шт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Установка трехфазного электрощита силового от 250 до 630А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(от160 до 400кВТ)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 влагостойкий IP54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27082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 место под установку приборов учета, трансформаторов тока, испытательной коробки.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0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-автоматические выключатели - 1шт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7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шина нулевая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- комплект повторного заземления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Монтаж щитов механизации в сети 0,4кВ кВт</w:t>
            </w:r>
          </w:p>
        </w:tc>
      </w:tr>
      <w:tr w:rsidR="000E0BEF" w:rsidRPr="00004852" w:rsidTr="000E0BEF">
        <w:trPr>
          <w:gridAfter w:val="2"/>
          <w:wAfter w:w="18840" w:type="dxa"/>
          <w:trHeight w:val="48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щита механизации с комплектующими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АВВ до 30кВт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, влагостойкий IP 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13857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6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Устройство защитного отключения АВВ-1шт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0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-Розетка АВВ щитовая на DIN рейку - 3шт.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0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автоматический выключатель АВВ - 1шт.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384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заземления -1 комплект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8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щита механизации с комплектующими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IEK до 30кВт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, влагостойкий IP 54 в комплекте: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11012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0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Устройство защитного отключения IEK-1шт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56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-Розетка IEK щитовая на DIN рейку - 3шт.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автоматический выключатель IEK - 1шт.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4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- монтаж заземления -1 комплект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</w:t>
            </w:r>
          </w:p>
        </w:tc>
      </w:tr>
      <w:tr w:rsidR="000E0BEF" w:rsidRPr="00004852" w:rsidTr="000E0BEF">
        <w:trPr>
          <w:gridAfter w:val="2"/>
          <w:wAfter w:w="18840" w:type="dxa"/>
          <w:trHeight w:val="3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усиленной для шкафов учета по сети 0,4кВ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свыше 30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кВт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покрытие порошковое, заводское изготовление, труба 100 мм),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длиной 7 метров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(бурение 2 метра, бетонирование)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5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усиленной для шкафов учета по сети 0,4кВ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свыше 30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(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покрытие порошковое, заводское изготовление, труба 100 мм),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длиной 4.4 метра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(бурение 1,6 метра, бетонирование)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5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для шкафов учета по сети 0,4кВ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до 30 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(покрытие порошковое, заводское изготовление)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длинной 7 метров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(бурение 2метра, бетонирование)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5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для шкафов учета по сети 0,4кВ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до 30 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(покрытие порошковое, заводское изготовление)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длинной 4,4 метра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(бурение 1,6 метра, бетонирование)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для шкафов учета по сети 0,4кВ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до 30 кВт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(покрытие порошковое, заводское изготовление) длинной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2 метра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(бурение 1 метр, бетонирование)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5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Реконструкция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4,4 на 7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Прокладка воздушной линии проводом марки СИП 2х16/4х16от щита учета/щита механизации до здания (сооружения) клиента, с подключением к вводно-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рапределительному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устройству.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п.м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Прокладка воздушной линии проводом марки СИП 2х25/4х25от щита учета/щита механизации до здания (сооружения) клиента, с подключением к вводно-распределительному устройству.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п.м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0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Прокладка кабельной линии от щита учета проводом марки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ВБбШв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3(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5)х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10 с укладкой сигнальной ленты в подготовленную траншею (песок предоставляется Заказчиком)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п.м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Прокладка воздушных линий по фасаду зданий до вводно-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распредилительного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устройства и подключение к вводно-распределительному 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п.м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5.11.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однофазной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розетки и автоматического выключателя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С16А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марки АВВ с креплением на DIN – рейку в щиты учета/механизации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6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накладной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трехфазной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розетки IP 67 на щит учета/механизации и автоматического выключателя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С16А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марки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АВВ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8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накладной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трехфазной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розетки IP 67 на щит учета/механизации и автоматического выключателя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С32А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марки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АВВ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накладной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трехфазной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розетки IP 67 на щит учета/механизации и автоматического выключателя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С16А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марки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накладной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трехфазной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розетки IP 67 на щит учета/механизации и автоматического выключателя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С32А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марки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прожектора светодиодного СДО 06-10 IP65 4000K черный IEK мощностью 10 Вт без датчиков движения с установкой дополнительного автоматического выключателя С6А в щит учета/механизации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прожектора светодиодного СДО 06-30 IP65 4000K черный IEK мощностью 30Вт без датчиков движения с установкой дополнительного автоматического выключателя С6А в щит учета/механизации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датчика движения/освещенности или лучше подобрать прожектора с датчиками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прожектора светодиодного СДО 06-10 IP65 4000K черный IEK мощностью 10 Вт c датчиком движения и с установкой дополнительного автоматического выключателя С6А в щит учета/механизации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прожектора светодиодного СДО 06-30 IP65 4000K черный IEK мощностью 30Вт с датчиком движения и с установкой дополнительного автоматического выключателя С6А в щит учета/механизации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5.21.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 трехфазного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устройства защитного отключения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АВВ С16А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9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трехфазного устройства защитного отключения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АВВ С32А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 трехфазного устройства защитного отключения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IEK С16А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 трехфазного устройства защитного отключения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IEK С32А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Бетонирование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трубостойки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с применением системы HILST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Монтаж контура заземления зданий и сооружений с учетом материалов, проведением замеров сопротивления и составлением соответствующего протокола.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компл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3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0E0BEF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0E0BEF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Обследование Э.У. с выяснением и подсчетом установленной мощности для каждой отходящей линии, при количестве автоматов защиты в щите до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46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</w:t>
            </w:r>
          </w:p>
        </w:tc>
      </w:tr>
      <w:tr w:rsidR="000E0BEF" w:rsidRPr="00004852" w:rsidTr="000E0BEF">
        <w:trPr>
          <w:gridAfter w:val="2"/>
          <w:wAfter w:w="18840" w:type="dxa"/>
          <w:trHeight w:val="46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Фазировка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электрической линии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точка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Замер полного сопротивления цепи "Фаза-нуль"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токоприемник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6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Измерение сопротивления изоляции мегомметром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Проверка, тестирование, настройка автоматики аварийного ввода резерва (АВР) на ток до 125А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9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Проверка, тестирование, настройка автоматики аварийного ввода резерва (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АВР)  на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ток 160-630А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Проверка, тестирование, настройка автоматики аварийного ввода резерва (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АВР)  на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ток 1000-2000А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Проверка, тестирование, настройка автоматики аварийного ввода резерва ДГУ (АВР ДГУ) на ток до 160А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7.9.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Проверка, тестирование, настройка автоматики аварийного ввода резерва ДГУ (АВР ДГУ) на </w:t>
            </w:r>
            <w:proofErr w:type="gramStart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ток  400</w:t>
            </w:r>
            <w:proofErr w:type="gramEnd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Проверка устройств защитного отключения (УЗО)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bookmarkStart w:id="9" w:name="_GoBack"/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Подготовка технического отчета</w:t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Выезд к клиенту в пределах МКАД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Выезд к клиенту до 50 км от МКАД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Выезд к клиенту от 50 до 100км от МКАД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Выезд к клиенту от 100 до 200 км от МКАД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Транспортные расходы на доставку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Default="000E0BEF" w:rsidP="00181FDB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  </w:t>
            </w:r>
          </w:p>
          <w:p w:rsidR="000E0BEF" w:rsidRPr="00004852" w:rsidRDefault="000E0BEF" w:rsidP="00181FDB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 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Разработка проекта внутреннего электрооборудования объекта площадью до 100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Разработка проекта внутреннего электрооборудования объекта площадью от 100 до 200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Разработка проекта внутреннего электрооборудования объекта площадью от 200 до 300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7"/>
          <w:wAfter w:w="27274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Оформление/внесение изменений в договор Энергоснабжения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</w:t>
            </w:r>
          </w:p>
        </w:tc>
      </w:tr>
      <w:tr w:rsidR="000E0BEF" w:rsidRPr="00004852" w:rsidTr="000E0BEF">
        <w:trPr>
          <w:gridAfter w:val="2"/>
          <w:wAfter w:w="18840" w:type="dxa"/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Индивидуальные жилые строения Физических лиц до 50кВт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Индивидуальные жилые строения Физических лиц от 50 до 150кВт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Юридические лица, индивидуальные предприниматели до 150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Юридические лица, индивидуальные предприниматели, физические лица от 150 до 250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Юридические лица, индивидуальные предприниматели, физические лица от 250 до 400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Юридические лица, индивидуальные предприниматели, физические лица от 400 до 630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Юридические лица, индивидуальные предприниматели, физические лица от 630 до 1000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Установка/замена однофазного прибора учета электрической энергии с установкой счетчика Меркурий 200.02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Замена/Установка прибора учета электрической энергии с установкой счетчика Меркурий 230ART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5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12.3.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Установка/замена</w:t>
            </w:r>
            <w:r w:rsidRPr="00004852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</w:rPr>
              <w:t xml:space="preserve"> 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прибора учета электрической энергии с установкой счетчика Меркурий 230AM 01.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Монтаж однофазного тросового SPLIT счетчика (счетчик предоставляет заказчик)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Замена испытательной коробки, вторичных цепей и их маркирование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Установка/замена трансформаторов тока номиналом до 600/5 в сети 0,4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компл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Установка/замена трансформаторов тока номиналом свыше 600/5 в сети 0,4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компл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Монтаж/демонтаж трансформаторов тока на шину 0,4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кВ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при необходимости с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расшиновкой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ВРУ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компл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181FDB" w:rsidRDefault="000E0BEF" w:rsidP="00FA0154">
            <w:pPr>
              <w:spacing w:before="40" w:after="40"/>
              <w:ind w:left="57" w:right="57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181FDB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Россия (643)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7"/>
          <w:wAfter w:w="27274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</w:t>
            </w: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Техническое обслуживание электроустановок юридических лиц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)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узел учета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проверка схем включения, работоспособности и наличия пломб узлов учета;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осмотр ВРУ и распределительных щитов, протяжка болтовых соединений, проверка работоспособности вводных рубильников, изолирование оголенных проводников;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Техническое обслуживание электроустановок юридических лиц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(годовое обслуживание 12 выездов)</w:t>
            </w: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узел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59000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проверка схем включения, работоспособности и наличия пломб узлов учета;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552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осмотр ВРУ и распределительных щитов, протяжка болтовых соединений, проверка работоспособности вводных рубильников, изолирование оголенных проводников;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Аварийный круглосуточный выезд электромонтажников для устранения аварий в течении двух часов с момента поступления заявки.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Инструментальная проверка узлов учета с применением специализированного оборудования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узел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инструментальная проверка схем включения узлов учета;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снятие векторных диаграмм;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распломбировка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/пломбировка узлов учета с составлением соответствующих актов.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Инструментальная проверка узлов учета с применением специализированного оборудования </w:t>
            </w:r>
            <w:r w:rsidRPr="0000485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(годовое обслуживание 4 выезда)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узел учета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17500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инструментальная проверка схем включения узлов учета;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- снятие векторных диаграмм;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E0BEF" w:rsidRPr="00004852" w:rsidTr="000E0BEF">
        <w:trPr>
          <w:gridAfter w:val="2"/>
          <w:wAfter w:w="18840" w:type="dxa"/>
          <w:trHeight w:val="288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 </w:t>
            </w:r>
            <w:proofErr w:type="spellStart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распломбировка</w:t>
            </w:r>
            <w:proofErr w:type="spellEnd"/>
            <w:r w:rsidRPr="00004852">
              <w:rPr>
                <w:rFonts w:asciiTheme="majorHAnsi" w:eastAsia="Times New Roman" w:hAnsiTheme="majorHAnsi" w:cs="Times New Roman"/>
                <w:sz w:val="18"/>
                <w:szCs w:val="18"/>
              </w:rPr>
              <w:t>/пломбировка узлов учета с составлением соответствующих актов.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F" w:rsidRPr="00004852" w:rsidRDefault="000E0BEF" w:rsidP="005828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:rsidR="00004852" w:rsidRPr="0098081F" w:rsidRDefault="00004852" w:rsidP="00920662">
      <w:pPr>
        <w:jc w:val="right"/>
        <w:rPr>
          <w:rFonts w:asciiTheme="majorHAnsi" w:hAnsiTheme="majorHAnsi"/>
          <w:bCs/>
          <w:sz w:val="20"/>
        </w:rPr>
      </w:pPr>
    </w:p>
    <w:p w:rsidR="00920662" w:rsidRPr="00FF4A30" w:rsidRDefault="00920662" w:rsidP="00920662">
      <w:pPr>
        <w:rPr>
          <w:bCs/>
          <w:sz w:val="20"/>
          <w:szCs w:val="20"/>
        </w:rPr>
      </w:pPr>
      <w:r w:rsidRPr="00FF4A30">
        <w:rPr>
          <w:sz w:val="20"/>
          <w:szCs w:val="20"/>
        </w:rPr>
        <w:tab/>
      </w:r>
      <w:bookmarkStart w:id="10" w:name="_Toc247081513"/>
    </w:p>
    <w:bookmarkEnd w:id="10"/>
    <w:p w:rsidR="00920662" w:rsidRPr="00D41097" w:rsidRDefault="00920662" w:rsidP="00920662"/>
    <w:p w:rsidR="00920662" w:rsidRDefault="00920662" w:rsidP="00920662">
      <w:pPr>
        <w:suppressAutoHyphens/>
        <w:ind w:firstLine="567"/>
        <w:rPr>
          <w:b/>
          <w:bCs/>
          <w:lang w:eastAsia="ar-SA"/>
        </w:rPr>
      </w:pPr>
    </w:p>
    <w:p w:rsidR="00920662" w:rsidRPr="00854DED" w:rsidRDefault="00920662" w:rsidP="00920662"/>
    <w:p w:rsidR="00585BFC" w:rsidRPr="00920662" w:rsidRDefault="00585BFC" w:rsidP="00920662"/>
    <w:sectPr w:rsidR="00585BFC" w:rsidRPr="00920662" w:rsidSect="001B12A2">
      <w:headerReference w:type="default" r:id="rId8"/>
      <w:footerReference w:type="default" r:id="rId9"/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85" w:rsidRDefault="00162085" w:rsidP="00A25087">
      <w:pPr>
        <w:spacing w:after="0" w:line="240" w:lineRule="auto"/>
      </w:pPr>
      <w:r>
        <w:separator/>
      </w:r>
    </w:p>
  </w:endnote>
  <w:endnote w:type="continuationSeparator" w:id="0">
    <w:p w:rsidR="00162085" w:rsidRDefault="00162085" w:rsidP="00A2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B1" w:rsidRDefault="005828B1">
    <w:pPr>
      <w:pStyle w:val="a7"/>
    </w:pPr>
  </w:p>
  <w:p w:rsidR="005828B1" w:rsidRDefault="00582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85" w:rsidRDefault="00162085" w:rsidP="00A25087">
      <w:pPr>
        <w:spacing w:after="0" w:line="240" w:lineRule="auto"/>
      </w:pPr>
      <w:r>
        <w:separator/>
      </w:r>
    </w:p>
  </w:footnote>
  <w:footnote w:type="continuationSeparator" w:id="0">
    <w:p w:rsidR="00162085" w:rsidRDefault="00162085" w:rsidP="00A2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B1" w:rsidRPr="00655563" w:rsidRDefault="005828B1" w:rsidP="00655563">
    <w:pPr>
      <w:pStyle w:val="a5"/>
      <w:spacing w:line="192" w:lineRule="auto"/>
      <w:rPr>
        <w:rFonts w:ascii="Arial" w:hAnsi="Arial" w:cs="Arial"/>
      </w:rPr>
    </w:pPr>
  </w:p>
  <w:p w:rsidR="005828B1" w:rsidRPr="00F33BF0" w:rsidRDefault="005828B1" w:rsidP="00585BFC">
    <w:pPr>
      <w:pStyle w:val="a5"/>
      <w:tabs>
        <w:tab w:val="clear" w:pos="4677"/>
        <w:tab w:val="clear" w:pos="9355"/>
        <w:tab w:val="left" w:pos="3105"/>
      </w:tabs>
      <w:spacing w:line="324" w:lineRule="auto"/>
      <w:rPr>
        <w:rFonts w:asciiTheme="majorHAnsi" w:hAnsiTheme="majorHAnsi" w:cs="Arial"/>
        <w:sz w:val="20"/>
        <w:szCs w:val="20"/>
      </w:rPr>
    </w:pPr>
    <w:r w:rsidRPr="00F33BF0">
      <w:rPr>
        <w:rFonts w:asciiTheme="majorHAnsi" w:hAnsiTheme="majorHAnsi" w:cs="Arial"/>
        <w:sz w:val="20"/>
        <w:szCs w:val="20"/>
      </w:rPr>
      <w:t xml:space="preserve">                 </w:t>
    </w:r>
    <w:r w:rsidRPr="00F33BF0">
      <w:rPr>
        <w:rFonts w:asciiTheme="majorHAnsi" w:hAnsiTheme="majorHAnsi" w:cs="Arial"/>
        <w:sz w:val="20"/>
        <w:szCs w:val="20"/>
        <w:lang w:val="en-US"/>
      </w:rPr>
      <w:t xml:space="preserve">          </w:t>
    </w:r>
  </w:p>
  <w:p w:rsidR="005828B1" w:rsidRPr="00F33BF0" w:rsidRDefault="005828B1" w:rsidP="005C06D8">
    <w:pPr>
      <w:pStyle w:val="a5"/>
      <w:spacing w:line="324" w:lineRule="auto"/>
      <w:rPr>
        <w:rFonts w:asciiTheme="majorHAnsi" w:hAnsiTheme="majorHAnsi" w:cs="Arial"/>
        <w:sz w:val="20"/>
        <w:szCs w:val="20"/>
      </w:rPr>
    </w:pPr>
  </w:p>
  <w:p w:rsidR="005828B1" w:rsidRPr="00F33BF0" w:rsidRDefault="005828B1" w:rsidP="005C06D8">
    <w:pPr>
      <w:pStyle w:val="a5"/>
      <w:spacing w:line="324" w:lineRule="auto"/>
      <w:rPr>
        <w:rFonts w:asciiTheme="majorHAnsi" w:hAnsiTheme="majorHAnsi" w:cs="Arial"/>
        <w:sz w:val="20"/>
        <w:szCs w:val="20"/>
      </w:rPr>
    </w:pPr>
  </w:p>
  <w:p w:rsidR="005828B1" w:rsidRPr="00F33BF0" w:rsidRDefault="005828B1" w:rsidP="005C06D8">
    <w:pPr>
      <w:pStyle w:val="a5"/>
      <w:spacing w:line="324" w:lineRule="auto"/>
      <w:rPr>
        <w:rFonts w:asciiTheme="majorHAnsi" w:hAnsiTheme="majorHAnsi" w:cs="Arial"/>
        <w:sz w:val="20"/>
        <w:szCs w:val="20"/>
      </w:rPr>
    </w:pPr>
  </w:p>
  <w:p w:rsidR="005828B1" w:rsidRPr="00F33BF0" w:rsidRDefault="005828B1" w:rsidP="005C06D8">
    <w:pPr>
      <w:pStyle w:val="a5"/>
      <w:spacing w:line="324" w:lineRule="auto"/>
      <w:rPr>
        <w:rFonts w:asciiTheme="majorHAnsi" w:hAnsiTheme="majorHAnsi" w:cs="Arial"/>
        <w:sz w:val="20"/>
        <w:szCs w:val="20"/>
      </w:rPr>
    </w:pPr>
    <w:r w:rsidRPr="00F33BF0">
      <w:rPr>
        <w:rFonts w:asciiTheme="majorHAnsi" w:hAnsiTheme="majorHAnsi" w:cs="Arial"/>
        <w:sz w:val="20"/>
        <w:szCs w:val="20"/>
      </w:rPr>
      <w:t xml:space="preserve">   </w:t>
    </w:r>
    <w:r w:rsidRPr="00F33BF0">
      <w:rPr>
        <w:rFonts w:asciiTheme="majorHAnsi" w:hAnsiTheme="majorHAnsi" w:cs="Arial"/>
        <w:sz w:val="20"/>
        <w:szCs w:val="20"/>
        <w:lang w:val="en-US"/>
      </w:rPr>
      <w:t xml:space="preserve"> </w:t>
    </w:r>
    <w:r w:rsidRPr="00F33BF0">
      <w:rPr>
        <w:rFonts w:asciiTheme="majorHAnsi" w:hAnsiTheme="majorHAnsi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0F1"/>
    <w:multiLevelType w:val="hybridMultilevel"/>
    <w:tmpl w:val="5F64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904BC4"/>
    <w:multiLevelType w:val="hybridMultilevel"/>
    <w:tmpl w:val="E1B80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A04A40"/>
    <w:multiLevelType w:val="hybridMultilevel"/>
    <w:tmpl w:val="79205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791D9C"/>
    <w:multiLevelType w:val="hybridMultilevel"/>
    <w:tmpl w:val="3B1A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AC49C5"/>
    <w:multiLevelType w:val="hybridMultilevel"/>
    <w:tmpl w:val="BC323BB4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92610"/>
    <w:multiLevelType w:val="hybridMultilevel"/>
    <w:tmpl w:val="DDD4B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766716C9"/>
    <w:multiLevelType w:val="hybridMultilevel"/>
    <w:tmpl w:val="A164E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B0658D"/>
    <w:multiLevelType w:val="hybridMultilevel"/>
    <w:tmpl w:val="23749C44"/>
    <w:lvl w:ilvl="0" w:tplc="ACF848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4E04BE"/>
    <w:multiLevelType w:val="hybridMultilevel"/>
    <w:tmpl w:val="E70C51C4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7E392AF2"/>
    <w:multiLevelType w:val="hybridMultilevel"/>
    <w:tmpl w:val="852C4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8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43"/>
    <w:rsid w:val="00004852"/>
    <w:rsid w:val="00006854"/>
    <w:rsid w:val="00037D24"/>
    <w:rsid w:val="00051060"/>
    <w:rsid w:val="00065E16"/>
    <w:rsid w:val="000755A8"/>
    <w:rsid w:val="00090590"/>
    <w:rsid w:val="000975BE"/>
    <w:rsid w:val="000A75A2"/>
    <w:rsid w:val="000B091F"/>
    <w:rsid w:val="000C4426"/>
    <w:rsid w:val="000E0BEF"/>
    <w:rsid w:val="00141829"/>
    <w:rsid w:val="00162085"/>
    <w:rsid w:val="0016517A"/>
    <w:rsid w:val="00181FDB"/>
    <w:rsid w:val="001B12A2"/>
    <w:rsid w:val="001E2B2A"/>
    <w:rsid w:val="00245CB6"/>
    <w:rsid w:val="00266352"/>
    <w:rsid w:val="00271FB6"/>
    <w:rsid w:val="00274EFF"/>
    <w:rsid w:val="002C67D2"/>
    <w:rsid w:val="002F6178"/>
    <w:rsid w:val="00334B3F"/>
    <w:rsid w:val="00386E8D"/>
    <w:rsid w:val="003D460E"/>
    <w:rsid w:val="00491397"/>
    <w:rsid w:val="00491BD7"/>
    <w:rsid w:val="004A4975"/>
    <w:rsid w:val="004B09C5"/>
    <w:rsid w:val="004D616A"/>
    <w:rsid w:val="00500323"/>
    <w:rsid w:val="005269EC"/>
    <w:rsid w:val="0052794C"/>
    <w:rsid w:val="005828B1"/>
    <w:rsid w:val="00585BFC"/>
    <w:rsid w:val="005A39FA"/>
    <w:rsid w:val="005C06D8"/>
    <w:rsid w:val="005D7DD6"/>
    <w:rsid w:val="005E104C"/>
    <w:rsid w:val="00655563"/>
    <w:rsid w:val="00662B56"/>
    <w:rsid w:val="00676DDD"/>
    <w:rsid w:val="006C4412"/>
    <w:rsid w:val="00700FFD"/>
    <w:rsid w:val="00707DAB"/>
    <w:rsid w:val="00711059"/>
    <w:rsid w:val="00715028"/>
    <w:rsid w:val="00735943"/>
    <w:rsid w:val="00835ACF"/>
    <w:rsid w:val="00854DED"/>
    <w:rsid w:val="008665DC"/>
    <w:rsid w:val="008E4756"/>
    <w:rsid w:val="008E7B1A"/>
    <w:rsid w:val="00920662"/>
    <w:rsid w:val="00935C63"/>
    <w:rsid w:val="0097510B"/>
    <w:rsid w:val="009764E9"/>
    <w:rsid w:val="0098081F"/>
    <w:rsid w:val="0099028D"/>
    <w:rsid w:val="009B7F86"/>
    <w:rsid w:val="00A25087"/>
    <w:rsid w:val="00A66050"/>
    <w:rsid w:val="00A74B34"/>
    <w:rsid w:val="00AA0C2E"/>
    <w:rsid w:val="00AB3C97"/>
    <w:rsid w:val="00AD3715"/>
    <w:rsid w:val="00BB5CBF"/>
    <w:rsid w:val="00BE1242"/>
    <w:rsid w:val="00BF4A5B"/>
    <w:rsid w:val="00C342F9"/>
    <w:rsid w:val="00C623D1"/>
    <w:rsid w:val="00C70D41"/>
    <w:rsid w:val="00CD6370"/>
    <w:rsid w:val="00D50EED"/>
    <w:rsid w:val="00D74B3D"/>
    <w:rsid w:val="00D95E28"/>
    <w:rsid w:val="00DC09FB"/>
    <w:rsid w:val="00DC2934"/>
    <w:rsid w:val="00DE0414"/>
    <w:rsid w:val="00E16D93"/>
    <w:rsid w:val="00EC554C"/>
    <w:rsid w:val="00ED7B93"/>
    <w:rsid w:val="00F02684"/>
    <w:rsid w:val="00F33BF0"/>
    <w:rsid w:val="00F8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D322E-A8CE-46CF-B49B-B6EC8D0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AD3715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basedOn w:val="a0"/>
    <w:link w:val="2"/>
    <w:rsid w:val="00AD37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0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0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5087"/>
  </w:style>
  <w:style w:type="paragraph" w:styleId="a7">
    <w:name w:val="footer"/>
    <w:basedOn w:val="a"/>
    <w:link w:val="a8"/>
    <w:uiPriority w:val="99"/>
    <w:unhideWhenUsed/>
    <w:rsid w:val="00A250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5087"/>
  </w:style>
  <w:style w:type="character" w:styleId="a9">
    <w:name w:val="Hyperlink"/>
    <w:uiPriority w:val="99"/>
    <w:unhideWhenUsed/>
    <w:rsid w:val="005C06D8"/>
    <w:rPr>
      <w:rFonts w:ascii="Arial" w:hAnsi="Arial" w:cs="Arial" w:hint="default"/>
      <w:b/>
      <w:bCs/>
      <w:strike w:val="0"/>
      <w:dstrike w:val="0"/>
      <w:color w:val="000080"/>
      <w:sz w:val="15"/>
      <w:szCs w:val="15"/>
      <w:u w:val="none"/>
      <w:effect w:val="none"/>
    </w:rPr>
  </w:style>
  <w:style w:type="paragraph" w:styleId="aa">
    <w:name w:val="No Spacing"/>
    <w:uiPriority w:val="1"/>
    <w:qFormat/>
    <w:rsid w:val="00F33BF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58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85BFC"/>
    <w:rPr>
      <w:i/>
      <w:iCs/>
    </w:rPr>
  </w:style>
  <w:style w:type="character" w:styleId="ad">
    <w:name w:val="footnote reference"/>
    <w:uiPriority w:val="99"/>
    <w:semiHidden/>
    <w:rsid w:val="002C67D2"/>
    <w:rPr>
      <w:rFonts w:ascii="Times New Roman" w:hAnsi="Times New Roman"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C67D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67D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3_Абзац списка,head 5"/>
    <w:basedOn w:val="a"/>
    <w:link w:val="af1"/>
    <w:uiPriority w:val="34"/>
    <w:qFormat/>
    <w:rsid w:val="00854D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0"/>
    <w:link w:val="af0"/>
    <w:uiPriority w:val="34"/>
    <w:qFormat/>
    <w:locked/>
    <w:rsid w:val="00854DE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004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004852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9">
    <w:name w:val="font9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6">
    <w:name w:val="xl66"/>
    <w:basedOn w:val="a"/>
    <w:rsid w:val="0000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48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04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2049-24CE-4F1F-911C-BC3D2D5C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DISPLAY-K</Company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work1</cp:lastModifiedBy>
  <cp:revision>2</cp:revision>
  <cp:lastPrinted>2019-03-27T06:34:00Z</cp:lastPrinted>
  <dcterms:created xsi:type="dcterms:W3CDTF">2021-03-23T09:39:00Z</dcterms:created>
  <dcterms:modified xsi:type="dcterms:W3CDTF">2021-03-23T09:39:00Z</dcterms:modified>
</cp:coreProperties>
</file>